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451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1D1D1D"/>
          <w:spacing w:val="0"/>
          <w:sz w:val="20"/>
          <w:szCs w:val="20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1D1D1D"/>
          <w:spacing w:val="0"/>
          <w:sz w:val="20"/>
          <w:szCs w:val="20"/>
          <w:bdr w:val="none" w:color="auto" w:sz="0" w:space="0"/>
          <w:shd w:val="clear" w:fill="FFFFFF"/>
        </w:rPr>
        <w:t>肇东市社区服务中心公开招聘医疗专业人员需求计划数</w:t>
      </w:r>
    </w:p>
    <w:bookmarkEnd w:id="0"/>
    <w:tbl>
      <w:tblPr>
        <w:tblW w:w="137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6"/>
        <w:gridCol w:w="2326"/>
        <w:gridCol w:w="1490"/>
        <w:gridCol w:w="2744"/>
        <w:gridCol w:w="2326"/>
        <w:gridCol w:w="1490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gridSpan w:val="6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2020年各专业需求人数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全科医学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精神卫生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东升社区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正阳社区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朝阳社区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　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　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　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　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　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西园社区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　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　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ECECE" w:sz="4" w:space="0"/>
              <w:left w:val="single" w:color="CECECE" w:sz="4" w:space="0"/>
              <w:bottom w:val="single" w:color="CECECE" w:sz="4" w:space="0"/>
              <w:right w:val="single" w:color="CECECE" w:sz="4" w:space="0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97DF7"/>
    <w:rsid w:val="1F997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2020-06-12T03:33:00Z</dcterms:created>
  <dc:creator>ASUS</dc:creator>
  <cp:lastModifiedBy>ASUS</cp:lastModifiedBy>
  <dcterms:modified xsi:type="dcterms:W3CDTF">2020-06-12T03:34:53Z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